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b/>
          <w:sz w:val="24"/>
          <w:szCs w:val="24"/>
          <w:lang w:val="en-US"/>
        </w:rPr>
      </w:pPr>
      <w:r>
        <w:rPr>
          <w:b/>
          <w:sz w:val="24"/>
          <w:szCs w:val="24"/>
          <w:lang w:val="en-US"/>
        </w:rPr>
        <w:t xml:space="preserve"> NMR lab report</w:t>
      </w:r>
    </w:p>
    <w:p>
      <w:pPr>
        <w:pStyle w:val="style0"/>
        <w:spacing w:lineRule="auto" w:line="480"/>
        <w:rPr>
          <w:b/>
          <w:sz w:val="24"/>
          <w:szCs w:val="24"/>
        </w:rPr>
      </w:pPr>
      <w:r>
        <w:rPr>
          <w:b/>
          <w:sz w:val="24"/>
          <w:szCs w:val="24"/>
          <w:lang w:val="en-US"/>
        </w:rPr>
        <w:t xml:space="preserve">Determination of the molecular structure of unknown sample </w:t>
      </w:r>
    </w:p>
    <w:p>
      <w:pPr>
        <w:pStyle w:val="style0"/>
        <w:spacing w:lineRule="auto" w:line="480"/>
        <w:rPr>
          <w:b/>
          <w:sz w:val="24"/>
          <w:szCs w:val="24"/>
        </w:rPr>
      </w:pPr>
    </w:p>
    <w:p>
      <w:pPr>
        <w:pStyle w:val="style0"/>
        <w:spacing w:lineRule="auto" w:line="480"/>
        <w:rPr>
          <w:b/>
          <w:sz w:val="24"/>
          <w:szCs w:val="24"/>
        </w:rPr>
      </w:pPr>
      <w:r>
        <w:rPr>
          <w:b/>
          <w:sz w:val="24"/>
          <w:szCs w:val="24"/>
        </w:rPr>
        <w:t>Unknown # 1</w:t>
      </w:r>
      <w:r>
        <w:rPr>
          <w:rFonts w:ascii="Times New Roman" w:hAnsi="Times New Roman"/>
          <w:b/>
          <w:sz w:val="24"/>
          <w:szCs w:val="24"/>
        </w:rPr>
        <w:t xml:space="preserve"> </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480"/>
              <w:rPr>
                <w:b/>
                <w:sz w:val="24"/>
                <w:szCs w:val="24"/>
              </w:rPr>
            </w:pPr>
            <w:r>
              <w:rPr>
                <w:b/>
                <w:sz w:val="24"/>
                <w:szCs w:val="24"/>
              </w:rPr>
              <w:t>P</w:t>
            </w:r>
            <w:r>
              <w:rPr>
                <w:b/>
                <w:sz w:val="24"/>
                <w:szCs w:val="24"/>
              </w:rPr>
              <w:t>pm</w:t>
            </w:r>
          </w:p>
        </w:tc>
        <w:tc>
          <w:tcPr>
            <w:tcW w:w="2394" w:type="dxa"/>
            <w:tcBorders/>
          </w:tcPr>
          <w:p>
            <w:pPr>
              <w:pStyle w:val="style0"/>
              <w:spacing w:lineRule="auto" w:line="480"/>
              <w:rPr>
                <w:b/>
                <w:sz w:val="24"/>
                <w:szCs w:val="24"/>
              </w:rPr>
            </w:pPr>
            <w:r>
              <w:rPr>
                <w:b/>
                <w:sz w:val="24"/>
                <w:szCs w:val="24"/>
              </w:rPr>
              <w:t xml:space="preserve">Splitting </w:t>
            </w:r>
          </w:p>
        </w:tc>
        <w:tc>
          <w:tcPr>
            <w:tcW w:w="2394" w:type="dxa"/>
            <w:tcBorders/>
          </w:tcPr>
          <w:p>
            <w:pPr>
              <w:pStyle w:val="style0"/>
              <w:spacing w:lineRule="auto" w:line="480"/>
              <w:rPr>
                <w:b/>
                <w:sz w:val="24"/>
                <w:szCs w:val="24"/>
              </w:rPr>
            </w:pPr>
            <w:r>
              <w:rPr>
                <w:b/>
                <w:sz w:val="24"/>
                <w:szCs w:val="24"/>
              </w:rPr>
              <w:t>Proton (H)</w:t>
            </w:r>
          </w:p>
        </w:tc>
        <w:tc>
          <w:tcPr>
            <w:tcW w:w="2394" w:type="dxa"/>
            <w:tcBorders/>
          </w:tcPr>
          <w:p>
            <w:pPr>
              <w:pStyle w:val="style0"/>
              <w:spacing w:lineRule="auto" w:line="480"/>
              <w:rPr>
                <w:b/>
                <w:sz w:val="24"/>
                <w:szCs w:val="24"/>
              </w:rPr>
            </w:pPr>
            <w:r>
              <w:rPr>
                <w:b/>
                <w:sz w:val="24"/>
                <w:szCs w:val="24"/>
              </w:rPr>
              <w:t>spectra</w:t>
            </w:r>
          </w:p>
        </w:tc>
      </w:tr>
      <w:tr>
        <w:tblPrEx/>
        <w:trPr/>
        <w:tc>
          <w:tcPr>
            <w:tcW w:w="2394" w:type="dxa"/>
            <w:tcBorders/>
          </w:tcPr>
          <w:p>
            <w:pPr>
              <w:pStyle w:val="style0"/>
              <w:spacing w:lineRule="auto" w:line="480"/>
              <w:rPr>
                <w:sz w:val="24"/>
                <w:szCs w:val="24"/>
              </w:rPr>
            </w:pPr>
            <w:r>
              <w:rPr>
                <w:sz w:val="24"/>
                <w:szCs w:val="24"/>
              </w:rPr>
              <w:t>4.27</w:t>
            </w:r>
          </w:p>
        </w:tc>
        <w:tc>
          <w:tcPr>
            <w:tcW w:w="2394" w:type="dxa"/>
            <w:tcBorders/>
          </w:tcPr>
          <w:p>
            <w:pPr>
              <w:pStyle w:val="style0"/>
              <w:spacing w:lineRule="auto" w:line="480"/>
              <w:rPr>
                <w:sz w:val="24"/>
                <w:szCs w:val="24"/>
              </w:rPr>
            </w:pPr>
            <w:r>
              <w:rPr>
                <w:sz w:val="24"/>
                <w:szCs w:val="24"/>
              </w:rPr>
              <w:t>m</w:t>
            </w:r>
          </w:p>
        </w:tc>
        <w:tc>
          <w:tcPr>
            <w:tcW w:w="2394" w:type="dxa"/>
            <w:tcBorders/>
          </w:tcPr>
          <w:p>
            <w:pPr>
              <w:pStyle w:val="style0"/>
              <w:spacing w:lineRule="auto" w:line="480"/>
              <w:rPr>
                <w:b/>
                <w:sz w:val="24"/>
                <w:szCs w:val="24"/>
              </w:rPr>
            </w:pPr>
            <w:r>
              <w:rPr>
                <w:b/>
                <w:sz w:val="24"/>
                <w:szCs w:val="24"/>
              </w:rPr>
              <w:t>4</w:t>
            </w:r>
          </w:p>
        </w:tc>
        <w:tc>
          <w:tcPr>
            <w:tcW w:w="2394" w:type="dxa"/>
            <w:tcBorders/>
          </w:tcPr>
          <w:p>
            <w:pPr>
              <w:pStyle w:val="style0"/>
              <w:spacing w:lineRule="auto" w:line="480"/>
              <w:rPr>
                <w:b/>
                <w:sz w:val="24"/>
                <w:szCs w:val="24"/>
              </w:rPr>
            </w:pPr>
            <w:r>
              <w:rPr>
                <w:b/>
                <w:sz w:val="24"/>
                <w:szCs w:val="24"/>
              </w:rPr>
              <w:t>CF-CH</w:t>
            </w:r>
            <w:r>
              <w:rPr>
                <w:b/>
                <w:sz w:val="24"/>
                <w:szCs w:val="24"/>
              </w:rPr>
              <w:t>-</w:t>
            </w:r>
          </w:p>
        </w:tc>
      </w:tr>
      <w:tr>
        <w:tblPrEx/>
        <w:trPr/>
        <w:tc>
          <w:tcPr>
            <w:tcW w:w="2394" w:type="dxa"/>
            <w:tcBorders/>
          </w:tcPr>
          <w:p>
            <w:pPr>
              <w:pStyle w:val="style0"/>
              <w:spacing w:lineRule="auto" w:line="480"/>
              <w:rPr>
                <w:b/>
                <w:sz w:val="24"/>
                <w:szCs w:val="24"/>
              </w:rPr>
            </w:pPr>
            <w:r>
              <w:rPr>
                <w:b/>
                <w:sz w:val="24"/>
                <w:szCs w:val="24"/>
              </w:rPr>
              <w:t>3.05</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b/>
                <w:sz w:val="24"/>
                <w:szCs w:val="24"/>
              </w:rPr>
            </w:pPr>
            <w:r>
              <w:rPr>
                <w:b/>
                <w:sz w:val="24"/>
                <w:szCs w:val="24"/>
              </w:rPr>
              <w:t>3</w:t>
            </w:r>
          </w:p>
        </w:tc>
        <w:tc>
          <w:tcPr>
            <w:tcW w:w="2394" w:type="dxa"/>
            <w:tcBorders/>
          </w:tcPr>
          <w:p>
            <w:pPr>
              <w:pStyle w:val="style0"/>
              <w:spacing w:lineRule="auto" w:line="480"/>
              <w:rPr>
                <w:b/>
                <w:sz w:val="24"/>
                <w:szCs w:val="24"/>
              </w:rPr>
            </w:pPr>
            <w:r>
              <w:rPr>
                <w:b/>
                <w:sz w:val="24"/>
                <w:szCs w:val="24"/>
              </w:rPr>
              <w:t>CH3-</w:t>
            </w:r>
          </w:p>
        </w:tc>
      </w:tr>
      <w:tr>
        <w:tblPrEx/>
        <w:trPr/>
        <w:tc>
          <w:tcPr>
            <w:tcW w:w="2394" w:type="dxa"/>
            <w:tcBorders/>
          </w:tcPr>
          <w:p>
            <w:pPr>
              <w:pStyle w:val="style0"/>
              <w:spacing w:lineRule="auto" w:line="480"/>
              <w:rPr>
                <w:b/>
                <w:sz w:val="24"/>
                <w:szCs w:val="24"/>
              </w:rPr>
            </w:pPr>
            <w:r>
              <w:rPr>
                <w:b/>
                <w:sz w:val="24"/>
                <w:szCs w:val="24"/>
              </w:rPr>
              <w:t>3.0</w:t>
            </w:r>
          </w:p>
        </w:tc>
        <w:tc>
          <w:tcPr>
            <w:tcW w:w="2394" w:type="dxa"/>
            <w:tcBorders/>
          </w:tcPr>
          <w:p>
            <w:pPr>
              <w:pStyle w:val="style0"/>
              <w:spacing w:lineRule="auto" w:line="480"/>
              <w:rPr>
                <w:b/>
                <w:sz w:val="24"/>
                <w:szCs w:val="24"/>
              </w:rPr>
            </w:pPr>
            <w:r>
              <w:rPr>
                <w:sz w:val="24"/>
                <w:szCs w:val="24"/>
              </w:rPr>
              <w:t>S</w:t>
            </w:r>
            <w:r>
              <w:rPr>
                <w:b/>
                <w:sz w:val="24"/>
                <w:szCs w:val="24"/>
              </w:rPr>
              <w:t xml:space="preserve"> </w:t>
            </w:r>
          </w:p>
        </w:tc>
        <w:tc>
          <w:tcPr>
            <w:tcW w:w="2394" w:type="dxa"/>
            <w:tcBorders/>
          </w:tcPr>
          <w:p>
            <w:pPr>
              <w:pStyle w:val="style0"/>
              <w:spacing w:lineRule="auto" w:line="480"/>
              <w:rPr>
                <w:b/>
                <w:sz w:val="24"/>
                <w:szCs w:val="24"/>
              </w:rPr>
            </w:pPr>
            <w:r>
              <w:rPr>
                <w:b/>
                <w:sz w:val="24"/>
                <w:szCs w:val="24"/>
              </w:rPr>
              <w:t>3</w:t>
            </w:r>
          </w:p>
        </w:tc>
        <w:tc>
          <w:tcPr>
            <w:tcW w:w="2394" w:type="dxa"/>
            <w:tcBorders/>
          </w:tcPr>
          <w:p>
            <w:pPr>
              <w:pStyle w:val="style0"/>
              <w:spacing w:lineRule="auto" w:line="480"/>
              <w:rPr>
                <w:b/>
                <w:sz w:val="24"/>
                <w:szCs w:val="24"/>
              </w:rPr>
            </w:pPr>
            <w:r>
              <w:rPr>
                <w:b/>
                <w:sz w:val="24"/>
                <w:szCs w:val="24"/>
              </w:rPr>
              <w:t>CH3-</w:t>
            </w:r>
          </w:p>
        </w:tc>
      </w:tr>
      <w:tr>
        <w:tblPrEx/>
        <w:trPr/>
        <w:tc>
          <w:tcPr>
            <w:tcW w:w="2394" w:type="dxa"/>
            <w:tcBorders/>
          </w:tcPr>
          <w:p>
            <w:pPr>
              <w:pStyle w:val="style0"/>
              <w:spacing w:lineRule="auto" w:line="480"/>
              <w:rPr>
                <w:b/>
                <w:sz w:val="24"/>
                <w:szCs w:val="24"/>
              </w:rPr>
            </w:pPr>
            <w:r>
              <w:rPr>
                <w:b/>
                <w:sz w:val="24"/>
                <w:szCs w:val="24"/>
              </w:rPr>
              <w:t>1.18</w:t>
            </w:r>
          </w:p>
        </w:tc>
        <w:tc>
          <w:tcPr>
            <w:tcW w:w="2394" w:type="dxa"/>
            <w:tcBorders/>
          </w:tcPr>
          <w:p>
            <w:pPr>
              <w:pStyle w:val="style0"/>
              <w:spacing w:lineRule="auto" w:line="480"/>
              <w:rPr>
                <w:sz w:val="24"/>
                <w:szCs w:val="24"/>
              </w:rPr>
            </w:pPr>
            <w:r>
              <w:rPr>
                <w:sz w:val="24"/>
                <w:szCs w:val="24"/>
              </w:rPr>
              <w:t>m</w:t>
            </w:r>
          </w:p>
        </w:tc>
        <w:tc>
          <w:tcPr>
            <w:tcW w:w="2394" w:type="dxa"/>
            <w:tcBorders/>
          </w:tcPr>
          <w:p>
            <w:pPr>
              <w:pStyle w:val="style0"/>
              <w:spacing w:lineRule="auto" w:line="480"/>
              <w:rPr>
                <w:b/>
                <w:sz w:val="24"/>
                <w:szCs w:val="24"/>
              </w:rPr>
            </w:pPr>
            <w:r>
              <w:rPr>
                <w:b/>
                <w:sz w:val="24"/>
                <w:szCs w:val="24"/>
              </w:rPr>
              <w:t>1</w:t>
            </w:r>
          </w:p>
        </w:tc>
        <w:tc>
          <w:tcPr>
            <w:tcW w:w="2394" w:type="dxa"/>
            <w:tcBorders/>
          </w:tcPr>
          <w:p>
            <w:pPr>
              <w:pStyle w:val="style0"/>
              <w:spacing w:lineRule="auto" w:line="480"/>
              <w:rPr>
                <w:b/>
                <w:sz w:val="24"/>
                <w:szCs w:val="24"/>
              </w:rPr>
            </w:pPr>
            <w:r>
              <w:rPr>
                <w:b/>
                <w:sz w:val="24"/>
                <w:szCs w:val="24"/>
              </w:rPr>
              <w:t>R-CH-</w:t>
            </w:r>
          </w:p>
        </w:tc>
      </w:tr>
      <w:tr>
        <w:tblPrEx/>
        <w:trPr/>
        <w:tc>
          <w:tcPr>
            <w:tcW w:w="2394" w:type="dxa"/>
            <w:tcBorders/>
          </w:tcPr>
          <w:p>
            <w:pPr>
              <w:pStyle w:val="style0"/>
              <w:spacing w:lineRule="auto" w:line="480"/>
              <w:rPr>
                <w:b/>
                <w:sz w:val="24"/>
                <w:szCs w:val="24"/>
              </w:rPr>
            </w:pPr>
            <w:r>
              <w:rPr>
                <w:b/>
                <w:sz w:val="24"/>
                <w:szCs w:val="24"/>
              </w:rPr>
              <w:t>1.0</w:t>
            </w:r>
          </w:p>
        </w:tc>
        <w:tc>
          <w:tcPr>
            <w:tcW w:w="2394" w:type="dxa"/>
            <w:tcBorders/>
          </w:tcPr>
          <w:p>
            <w:pPr>
              <w:pStyle w:val="style0"/>
              <w:spacing w:lineRule="auto" w:line="480"/>
              <w:rPr>
                <w:sz w:val="24"/>
                <w:szCs w:val="24"/>
              </w:rPr>
            </w:pPr>
            <w:r>
              <w:rPr>
                <w:sz w:val="24"/>
                <w:szCs w:val="24"/>
              </w:rPr>
              <w:t>m</w:t>
            </w:r>
          </w:p>
        </w:tc>
        <w:tc>
          <w:tcPr>
            <w:tcW w:w="2394" w:type="dxa"/>
            <w:tcBorders/>
          </w:tcPr>
          <w:p>
            <w:pPr>
              <w:pStyle w:val="style0"/>
              <w:spacing w:lineRule="auto" w:line="480"/>
              <w:rPr>
                <w:b/>
                <w:sz w:val="24"/>
                <w:szCs w:val="24"/>
              </w:rPr>
            </w:pPr>
            <w:r>
              <w:rPr>
                <w:b/>
                <w:sz w:val="24"/>
                <w:szCs w:val="24"/>
              </w:rPr>
              <w:t>1</w:t>
            </w:r>
          </w:p>
        </w:tc>
        <w:tc>
          <w:tcPr>
            <w:tcW w:w="2394" w:type="dxa"/>
            <w:tcBorders/>
          </w:tcPr>
          <w:p>
            <w:pPr>
              <w:pStyle w:val="style0"/>
              <w:spacing w:lineRule="auto" w:line="480"/>
              <w:rPr>
                <w:b/>
                <w:sz w:val="24"/>
                <w:szCs w:val="24"/>
              </w:rPr>
            </w:pPr>
            <w:r>
              <w:rPr>
                <w:b/>
                <w:sz w:val="24"/>
                <w:szCs w:val="24"/>
              </w:rPr>
              <w:t>R-CH-</w:t>
            </w:r>
          </w:p>
        </w:tc>
      </w:tr>
    </w:tbl>
    <w:p>
      <w:pPr>
        <w:pStyle w:val="style0"/>
        <w:spacing w:lineRule="auto" w:line="480"/>
        <w:rPr>
          <w:b/>
          <w:sz w:val="24"/>
          <w:szCs w:val="24"/>
        </w:rPr>
      </w:pPr>
    </w:p>
    <w:p>
      <w:pPr>
        <w:pStyle w:val="style0"/>
        <w:spacing w:lineRule="auto" w:line="480"/>
        <w:rPr>
          <w:sz w:val="24"/>
          <w:szCs w:val="24"/>
        </w:rPr>
      </w:pPr>
      <w:r>
        <w:rPr>
          <w:sz w:val="24"/>
          <w:szCs w:val="24"/>
        </w:rPr>
        <w:t xml:space="preserve">From the above data the possible spectra compound is predicted to </w:t>
      </w:r>
      <w:r>
        <w:rPr>
          <w:sz w:val="24"/>
          <w:szCs w:val="24"/>
          <w:lang w:val="en-US"/>
        </w:rPr>
        <w:t xml:space="preserve">as.                             </w:t>
      </w:r>
      <w:r>
        <w:rPr>
          <w:sz w:val="24"/>
          <w:szCs w:val="24"/>
        </w:rPr>
        <w:t>; 1-floro-pent-2-ene.</w:t>
      </w:r>
    </w:p>
    <w:p>
      <w:pPr>
        <w:pStyle w:val="style0"/>
        <w:spacing w:lineRule="auto" w:line="480"/>
        <w:rPr>
          <w:sz w:val="24"/>
          <w:szCs w:val="24"/>
        </w:rPr>
      </w:pPr>
      <w:r>
        <w:rPr>
          <w:sz w:val="24"/>
          <w:szCs w:val="24"/>
          <w:lang w:val="en-US"/>
        </w:rPr>
        <w:t>The ppm values when divide with the least ppm each gives the number of proton which is hydrogen while the peak numbers give the estimation of carbon atoms in the compound.</w:t>
      </w:r>
    </w:p>
    <w:p>
      <w:pPr>
        <w:pStyle w:val="style0"/>
        <w:spacing w:lineRule="auto" w:line="480"/>
        <w:rPr>
          <w:sz w:val="24"/>
          <w:szCs w:val="24"/>
        </w:rPr>
      </w:pPr>
    </w:p>
    <w:p>
      <w:pPr>
        <w:pStyle w:val="style0"/>
        <w:spacing w:lineRule="auto" w:line="480"/>
        <w:rPr>
          <w:sz w:val="24"/>
          <w:szCs w:val="24"/>
        </w:rPr>
      </w:pPr>
    </w:p>
    <w:p>
      <w:pPr>
        <w:pStyle w:val="style0"/>
        <w:spacing w:lineRule="auto" w:line="480"/>
        <w:rPr>
          <w:sz w:val="24"/>
          <w:szCs w:val="24"/>
          <w:lang w:val="en-US"/>
        </w:rPr>
      </w:pPr>
      <w:r>
        <w:rPr>
          <w:sz w:val="24"/>
          <w:szCs w:val="24"/>
          <w:lang w:val="en-US"/>
        </w:rPr>
        <w:t>.</w:t>
      </w:r>
    </w:p>
    <w:p>
      <w:pPr>
        <w:pStyle w:val="style0"/>
        <w:spacing w:lineRule="auto" w:line="480"/>
        <w:rPr>
          <w:sz w:val="24"/>
          <w:szCs w:val="24"/>
        </w:rPr>
      </w:pPr>
    </w:p>
    <w:p>
      <w:pPr>
        <w:pStyle w:val="style0"/>
        <w:spacing w:lineRule="auto" w:line="480"/>
        <w:rPr>
          <w:sz w:val="24"/>
          <w:szCs w:val="24"/>
        </w:rPr>
      </w:pPr>
    </w:p>
    <w:p>
      <w:pPr>
        <w:pStyle w:val="style0"/>
        <w:spacing w:lineRule="auto" w:line="480"/>
        <w:rPr>
          <w:sz w:val="24"/>
          <w:szCs w:val="24"/>
        </w:rPr>
      </w:pPr>
    </w:p>
    <w:p>
      <w:pPr>
        <w:pStyle w:val="style0"/>
        <w:spacing w:lineRule="auto" w:line="480"/>
        <w:rPr>
          <w:b/>
          <w:sz w:val="24"/>
          <w:szCs w:val="24"/>
        </w:rPr>
      </w:pPr>
      <w:r>
        <w:rPr>
          <w:b/>
          <w:sz w:val="24"/>
          <w:szCs w:val="24"/>
        </w:rPr>
        <w:t>Unknown 2</w:t>
      </w:r>
    </w:p>
    <w:tbl>
      <w:tblPr>
        <w:tblStyle w:val="style154"/>
        <w:tblW w:w="0" w:type="auto"/>
        <w:tblLook w:val="04A0" w:firstRow="1" w:lastRow="0" w:firstColumn="1" w:lastColumn="0" w:noHBand="0" w:noVBand="1"/>
      </w:tblPr>
      <w:tblGrid>
        <w:gridCol w:w="2394"/>
        <w:gridCol w:w="2394"/>
        <w:gridCol w:w="2394"/>
        <w:gridCol w:w="2394"/>
      </w:tblGrid>
      <w:tr>
        <w:trPr/>
        <w:tc>
          <w:tcPr>
            <w:tcW w:w="2394" w:type="dxa"/>
            <w:tcBorders/>
          </w:tcPr>
          <w:p>
            <w:pPr>
              <w:pStyle w:val="style0"/>
              <w:spacing w:lineRule="auto" w:line="480"/>
              <w:rPr>
                <w:b/>
                <w:sz w:val="24"/>
                <w:szCs w:val="24"/>
              </w:rPr>
            </w:pPr>
            <w:r>
              <w:rPr>
                <w:b/>
                <w:sz w:val="24"/>
                <w:szCs w:val="24"/>
              </w:rPr>
              <w:t>P</w:t>
            </w:r>
            <w:r>
              <w:rPr>
                <w:b/>
                <w:sz w:val="24"/>
                <w:szCs w:val="24"/>
              </w:rPr>
              <w:t>pm</w:t>
            </w:r>
          </w:p>
        </w:tc>
        <w:tc>
          <w:tcPr>
            <w:tcW w:w="2394" w:type="dxa"/>
            <w:tcBorders/>
          </w:tcPr>
          <w:p>
            <w:pPr>
              <w:pStyle w:val="style0"/>
              <w:spacing w:lineRule="auto" w:line="480"/>
              <w:rPr>
                <w:b/>
                <w:sz w:val="24"/>
                <w:szCs w:val="24"/>
              </w:rPr>
            </w:pPr>
            <w:r>
              <w:rPr>
                <w:b/>
                <w:sz w:val="24"/>
                <w:szCs w:val="24"/>
              </w:rPr>
              <w:t>Splitting</w:t>
            </w:r>
          </w:p>
        </w:tc>
        <w:tc>
          <w:tcPr>
            <w:tcW w:w="2394" w:type="dxa"/>
            <w:tcBorders/>
          </w:tcPr>
          <w:p>
            <w:pPr>
              <w:pStyle w:val="style0"/>
              <w:spacing w:lineRule="auto" w:line="480"/>
              <w:rPr>
                <w:b/>
                <w:sz w:val="24"/>
                <w:szCs w:val="24"/>
              </w:rPr>
            </w:pPr>
            <w:r>
              <w:rPr>
                <w:b/>
                <w:sz w:val="24"/>
                <w:szCs w:val="24"/>
              </w:rPr>
              <w:t xml:space="preserve">Proton </w:t>
            </w:r>
          </w:p>
        </w:tc>
        <w:tc>
          <w:tcPr>
            <w:tcW w:w="2394" w:type="dxa"/>
            <w:tcBorders/>
          </w:tcPr>
          <w:p>
            <w:pPr>
              <w:pStyle w:val="style0"/>
              <w:spacing w:lineRule="auto" w:line="480"/>
              <w:rPr>
                <w:b/>
                <w:sz w:val="24"/>
                <w:szCs w:val="24"/>
              </w:rPr>
            </w:pPr>
            <w:r>
              <w:rPr>
                <w:b/>
                <w:sz w:val="24"/>
                <w:szCs w:val="24"/>
              </w:rPr>
              <w:t>Spectra</w:t>
            </w:r>
          </w:p>
        </w:tc>
      </w:tr>
      <w:tr>
        <w:tblPrEx/>
        <w:trPr/>
        <w:tc>
          <w:tcPr>
            <w:tcW w:w="2394" w:type="dxa"/>
            <w:tcBorders/>
          </w:tcPr>
          <w:p>
            <w:pPr>
              <w:pStyle w:val="style0"/>
              <w:spacing w:lineRule="auto" w:line="480"/>
              <w:rPr>
                <w:sz w:val="24"/>
                <w:szCs w:val="24"/>
              </w:rPr>
            </w:pPr>
            <w:r>
              <w:rPr>
                <w:sz w:val="24"/>
                <w:szCs w:val="24"/>
              </w:rPr>
              <w:t>0.030</w:t>
            </w:r>
          </w:p>
        </w:tc>
        <w:tc>
          <w:tcPr>
            <w:tcW w:w="2394" w:type="dxa"/>
            <w:tcBorders/>
          </w:tcPr>
          <w:p>
            <w:pPr>
              <w:pStyle w:val="style0"/>
              <w:spacing w:lineRule="auto" w:line="480"/>
              <w:rPr>
                <w:b/>
                <w:sz w:val="24"/>
                <w:szCs w:val="24"/>
              </w:rPr>
            </w:pPr>
            <w:r>
              <w:rPr>
                <w:b/>
                <w:sz w:val="24"/>
                <w:szCs w:val="24"/>
              </w:rPr>
              <w:t>S</w:t>
            </w:r>
          </w:p>
        </w:tc>
        <w:tc>
          <w:tcPr>
            <w:tcW w:w="2394" w:type="dxa"/>
            <w:tcBorders/>
          </w:tcPr>
          <w:p>
            <w:pPr>
              <w:pStyle w:val="style0"/>
              <w:spacing w:lineRule="auto" w:line="480"/>
              <w:rPr>
                <w:b/>
                <w:sz w:val="24"/>
                <w:szCs w:val="24"/>
              </w:rPr>
            </w:pPr>
            <w:r>
              <w:rPr>
                <w:b/>
                <w:sz w:val="24"/>
                <w:szCs w:val="24"/>
              </w:rPr>
              <w:t>4</w:t>
            </w:r>
          </w:p>
        </w:tc>
        <w:tc>
          <w:tcPr>
            <w:tcW w:w="2394" w:type="dxa"/>
            <w:tcBorders/>
          </w:tcPr>
          <w:p>
            <w:pPr>
              <w:pStyle w:val="style0"/>
              <w:spacing w:lineRule="auto" w:line="480"/>
              <w:rPr>
                <w:b/>
                <w:sz w:val="24"/>
                <w:szCs w:val="24"/>
              </w:rPr>
            </w:pPr>
            <w:r>
              <w:rPr>
                <w:b/>
                <w:sz w:val="24"/>
                <w:szCs w:val="24"/>
                <w:lang w:val="en-US"/>
              </w:rPr>
              <w:t>CH3-CH-</w:t>
            </w:r>
          </w:p>
        </w:tc>
      </w:tr>
      <w:tr>
        <w:tblPrEx/>
        <w:trPr/>
        <w:tc>
          <w:tcPr>
            <w:tcW w:w="2394" w:type="dxa"/>
            <w:tcBorders/>
          </w:tcPr>
          <w:p>
            <w:pPr>
              <w:pStyle w:val="style0"/>
              <w:spacing w:lineRule="auto" w:line="480"/>
              <w:rPr>
                <w:sz w:val="24"/>
                <w:szCs w:val="24"/>
              </w:rPr>
            </w:pPr>
            <w:r>
              <w:rPr>
                <w:sz w:val="24"/>
                <w:szCs w:val="24"/>
              </w:rPr>
              <w:t>0.030</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sz w:val="24"/>
                <w:szCs w:val="24"/>
              </w:rPr>
            </w:pPr>
            <w:r>
              <w:rPr>
                <w:sz w:val="24"/>
                <w:szCs w:val="24"/>
              </w:rPr>
              <w:t>4</w:t>
            </w:r>
          </w:p>
        </w:tc>
        <w:tc>
          <w:tcPr>
            <w:tcW w:w="2394" w:type="dxa"/>
            <w:tcBorders/>
          </w:tcPr>
          <w:p>
            <w:pPr>
              <w:pStyle w:val="style0"/>
              <w:spacing w:lineRule="auto" w:line="480"/>
              <w:rPr>
                <w:sz w:val="24"/>
                <w:szCs w:val="24"/>
              </w:rPr>
            </w:pPr>
            <w:r>
              <w:rPr>
                <w:sz w:val="24"/>
                <w:szCs w:val="24"/>
                <w:lang w:val="en-US"/>
              </w:rPr>
              <w:t>CH3-CH-</w:t>
            </w:r>
          </w:p>
        </w:tc>
      </w:tr>
      <w:tr>
        <w:tblPrEx/>
        <w:trPr/>
        <w:tc>
          <w:tcPr>
            <w:tcW w:w="2394" w:type="dxa"/>
            <w:tcBorders/>
          </w:tcPr>
          <w:p>
            <w:pPr>
              <w:pStyle w:val="style0"/>
              <w:spacing w:lineRule="auto" w:line="480"/>
              <w:rPr>
                <w:sz w:val="24"/>
                <w:szCs w:val="24"/>
              </w:rPr>
            </w:pPr>
            <w:r>
              <w:rPr>
                <w:sz w:val="24"/>
                <w:szCs w:val="24"/>
              </w:rPr>
              <w:t>0.075</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sz w:val="24"/>
                <w:szCs w:val="24"/>
              </w:rPr>
            </w:pPr>
            <w:r>
              <w:rPr>
                <w:sz w:val="24"/>
                <w:szCs w:val="24"/>
              </w:rPr>
              <w:t>10</w:t>
            </w:r>
          </w:p>
        </w:tc>
        <w:tc>
          <w:tcPr>
            <w:tcW w:w="2394" w:type="dxa"/>
            <w:tcBorders/>
          </w:tcPr>
          <w:p>
            <w:pPr>
              <w:pStyle w:val="style0"/>
              <w:spacing w:lineRule="auto" w:line="480"/>
              <w:rPr>
                <w:sz w:val="24"/>
                <w:szCs w:val="24"/>
              </w:rPr>
            </w:pPr>
            <w:r>
              <w:rPr>
                <w:sz w:val="24"/>
                <w:szCs w:val="24"/>
                <w:lang w:val="en-US"/>
              </w:rPr>
              <w:t>N=C=O</w:t>
            </w:r>
          </w:p>
        </w:tc>
      </w:tr>
      <w:tr>
        <w:tblPrEx/>
        <w:trPr/>
        <w:tc>
          <w:tcPr>
            <w:tcW w:w="2394" w:type="dxa"/>
            <w:tcBorders/>
          </w:tcPr>
          <w:p>
            <w:pPr>
              <w:pStyle w:val="style0"/>
              <w:spacing w:lineRule="auto" w:line="480"/>
              <w:rPr>
                <w:sz w:val="24"/>
                <w:szCs w:val="24"/>
              </w:rPr>
            </w:pPr>
            <w:r>
              <w:rPr>
                <w:sz w:val="24"/>
                <w:szCs w:val="24"/>
              </w:rPr>
              <w:t>0.035</w:t>
            </w:r>
          </w:p>
        </w:tc>
        <w:tc>
          <w:tcPr>
            <w:tcW w:w="2394" w:type="dxa"/>
            <w:tcBorders/>
          </w:tcPr>
          <w:p>
            <w:pPr>
              <w:pStyle w:val="style0"/>
              <w:spacing w:lineRule="auto" w:line="480"/>
              <w:rPr>
                <w:sz w:val="24"/>
                <w:szCs w:val="24"/>
              </w:rPr>
            </w:pPr>
            <w:r>
              <w:rPr>
                <w:sz w:val="24"/>
                <w:szCs w:val="24"/>
              </w:rPr>
              <w:t>d</w:t>
            </w:r>
          </w:p>
        </w:tc>
        <w:tc>
          <w:tcPr>
            <w:tcW w:w="2394" w:type="dxa"/>
            <w:tcBorders/>
          </w:tcPr>
          <w:p>
            <w:pPr>
              <w:pStyle w:val="style0"/>
              <w:spacing w:lineRule="auto" w:line="480"/>
              <w:rPr>
                <w:sz w:val="24"/>
                <w:szCs w:val="24"/>
              </w:rPr>
            </w:pPr>
            <w:r>
              <w:rPr>
                <w:sz w:val="24"/>
                <w:szCs w:val="24"/>
              </w:rPr>
              <w:t>5</w:t>
            </w:r>
          </w:p>
        </w:tc>
        <w:tc>
          <w:tcPr>
            <w:tcW w:w="2394" w:type="dxa"/>
            <w:tcBorders/>
          </w:tcPr>
          <w:p>
            <w:pPr>
              <w:pStyle w:val="style0"/>
              <w:spacing w:lineRule="auto" w:line="480"/>
              <w:rPr>
                <w:sz w:val="24"/>
                <w:szCs w:val="24"/>
              </w:rPr>
            </w:pPr>
            <w:r>
              <w:rPr>
                <w:sz w:val="24"/>
                <w:szCs w:val="24"/>
                <w:lang w:val="en-US"/>
              </w:rPr>
              <w:t>CH2CH3-</w:t>
            </w:r>
          </w:p>
        </w:tc>
      </w:tr>
      <w:tr>
        <w:tblPrEx/>
        <w:trPr/>
        <w:tc>
          <w:tcPr>
            <w:tcW w:w="2394" w:type="dxa"/>
            <w:tcBorders/>
          </w:tcPr>
          <w:p>
            <w:pPr>
              <w:pStyle w:val="style0"/>
              <w:spacing w:lineRule="auto" w:line="480"/>
              <w:rPr>
                <w:sz w:val="24"/>
                <w:szCs w:val="24"/>
              </w:rPr>
            </w:pPr>
            <w:r>
              <w:rPr>
                <w:sz w:val="24"/>
                <w:szCs w:val="24"/>
              </w:rPr>
              <w:t>0.075</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sz w:val="24"/>
                <w:szCs w:val="24"/>
              </w:rPr>
            </w:pPr>
            <w:r>
              <w:rPr>
                <w:sz w:val="24"/>
                <w:szCs w:val="24"/>
              </w:rPr>
              <w:t>10</w:t>
            </w:r>
          </w:p>
        </w:tc>
        <w:tc>
          <w:tcPr>
            <w:tcW w:w="2394" w:type="dxa"/>
            <w:tcBorders/>
          </w:tcPr>
          <w:p>
            <w:pPr>
              <w:pStyle w:val="style0"/>
              <w:spacing w:lineRule="auto" w:line="480"/>
              <w:rPr>
                <w:sz w:val="24"/>
                <w:szCs w:val="24"/>
              </w:rPr>
            </w:pPr>
            <w:r>
              <w:rPr>
                <w:sz w:val="24"/>
                <w:szCs w:val="24"/>
                <w:lang w:val="en-US"/>
              </w:rPr>
              <w:t>N=C=O</w:t>
            </w:r>
          </w:p>
        </w:tc>
      </w:tr>
      <w:tr>
        <w:tblPrEx/>
        <w:trPr/>
        <w:tc>
          <w:tcPr>
            <w:tcW w:w="2394" w:type="dxa"/>
            <w:tcBorders/>
          </w:tcPr>
          <w:p>
            <w:pPr>
              <w:pStyle w:val="style0"/>
              <w:spacing w:lineRule="auto" w:line="480"/>
              <w:rPr>
                <w:sz w:val="24"/>
                <w:szCs w:val="24"/>
              </w:rPr>
            </w:pPr>
            <w:r>
              <w:rPr>
                <w:sz w:val="24"/>
                <w:szCs w:val="24"/>
              </w:rPr>
              <w:t>0.075</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sz w:val="24"/>
                <w:szCs w:val="24"/>
              </w:rPr>
            </w:pPr>
            <w:r>
              <w:rPr>
                <w:sz w:val="24"/>
                <w:szCs w:val="24"/>
              </w:rPr>
              <w:t>10</w:t>
            </w:r>
          </w:p>
        </w:tc>
        <w:tc>
          <w:tcPr>
            <w:tcW w:w="2394" w:type="dxa"/>
            <w:tcBorders/>
          </w:tcPr>
          <w:p>
            <w:pPr>
              <w:pStyle w:val="style0"/>
              <w:spacing w:lineRule="auto" w:line="480"/>
              <w:rPr>
                <w:sz w:val="24"/>
                <w:szCs w:val="24"/>
              </w:rPr>
            </w:pPr>
            <w:r>
              <w:rPr>
                <w:sz w:val="24"/>
                <w:szCs w:val="24"/>
                <w:lang w:val="en-US"/>
              </w:rPr>
              <w:t>N=C=O</w:t>
            </w:r>
          </w:p>
        </w:tc>
      </w:tr>
      <w:tr>
        <w:tblPrEx/>
        <w:trPr>
          <w:trHeight w:val="255" w:hRule="atLeast"/>
        </w:trPr>
        <w:tc>
          <w:tcPr>
            <w:tcW w:w="2394" w:type="dxa"/>
            <w:tcBorders/>
          </w:tcPr>
          <w:p>
            <w:pPr>
              <w:pStyle w:val="style0"/>
              <w:spacing w:lineRule="auto" w:line="480"/>
              <w:rPr>
                <w:sz w:val="24"/>
                <w:szCs w:val="24"/>
              </w:rPr>
            </w:pPr>
            <w:r>
              <w:rPr>
                <w:sz w:val="24"/>
                <w:szCs w:val="24"/>
              </w:rPr>
              <w:t>0.010</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sz w:val="24"/>
                <w:szCs w:val="24"/>
              </w:rPr>
            </w:pPr>
            <w:r>
              <w:rPr>
                <w:sz w:val="24"/>
                <w:szCs w:val="24"/>
              </w:rPr>
              <w:t>1</w:t>
            </w:r>
          </w:p>
        </w:tc>
        <w:tc>
          <w:tcPr>
            <w:tcW w:w="2394" w:type="dxa"/>
            <w:tcBorders/>
          </w:tcPr>
          <w:p>
            <w:pPr>
              <w:pStyle w:val="style0"/>
              <w:spacing w:lineRule="auto" w:line="480"/>
              <w:rPr>
                <w:sz w:val="24"/>
                <w:szCs w:val="24"/>
              </w:rPr>
            </w:pPr>
            <w:r>
              <w:rPr>
                <w:sz w:val="24"/>
                <w:szCs w:val="24"/>
                <w:lang w:val="en-US"/>
              </w:rPr>
              <w:t>CH3-</w:t>
            </w:r>
          </w:p>
        </w:tc>
      </w:tr>
      <w:tr>
        <w:tblPrEx/>
        <w:trPr>
          <w:trHeight w:val="285" w:hRule="atLeast"/>
        </w:trPr>
        <w:tc>
          <w:tcPr>
            <w:tcW w:w="2394" w:type="dxa"/>
            <w:tcBorders/>
          </w:tcPr>
          <w:p>
            <w:pPr>
              <w:pStyle w:val="style0"/>
              <w:spacing w:lineRule="auto" w:line="480"/>
              <w:rPr>
                <w:sz w:val="24"/>
                <w:szCs w:val="24"/>
              </w:rPr>
            </w:pPr>
            <w:r>
              <w:rPr>
                <w:sz w:val="24"/>
                <w:szCs w:val="24"/>
              </w:rPr>
              <w:t>0.0075</w:t>
            </w:r>
          </w:p>
        </w:tc>
        <w:tc>
          <w:tcPr>
            <w:tcW w:w="2394" w:type="dxa"/>
            <w:tcBorders/>
          </w:tcPr>
          <w:p>
            <w:pPr>
              <w:pStyle w:val="style0"/>
              <w:spacing w:lineRule="auto" w:line="480"/>
              <w:rPr>
                <w:sz w:val="24"/>
                <w:szCs w:val="24"/>
              </w:rPr>
            </w:pPr>
            <w:r>
              <w:rPr>
                <w:sz w:val="24"/>
                <w:szCs w:val="24"/>
              </w:rPr>
              <w:t>S</w:t>
            </w:r>
          </w:p>
        </w:tc>
        <w:tc>
          <w:tcPr>
            <w:tcW w:w="2394" w:type="dxa"/>
            <w:tcBorders/>
          </w:tcPr>
          <w:p>
            <w:pPr>
              <w:pStyle w:val="style0"/>
              <w:spacing w:lineRule="auto" w:line="480"/>
              <w:rPr>
                <w:sz w:val="24"/>
                <w:szCs w:val="24"/>
              </w:rPr>
            </w:pPr>
            <w:r>
              <w:rPr>
                <w:sz w:val="24"/>
                <w:szCs w:val="24"/>
              </w:rPr>
              <w:t>1</w:t>
            </w:r>
          </w:p>
        </w:tc>
        <w:tc>
          <w:tcPr>
            <w:tcW w:w="2394" w:type="dxa"/>
            <w:tcBorders/>
          </w:tcPr>
          <w:p>
            <w:pPr>
              <w:pStyle w:val="style0"/>
              <w:spacing w:lineRule="auto" w:line="480"/>
              <w:rPr>
                <w:sz w:val="24"/>
                <w:szCs w:val="24"/>
              </w:rPr>
            </w:pPr>
            <w:r>
              <w:rPr>
                <w:sz w:val="24"/>
                <w:szCs w:val="24"/>
                <w:lang w:val="en-US"/>
              </w:rPr>
              <w:t>CH3-</w:t>
            </w:r>
          </w:p>
        </w:tc>
      </w:tr>
    </w:tbl>
    <w:p>
      <w:pPr>
        <w:pStyle w:val="style0"/>
        <w:spacing w:lineRule="auto" w:line="480"/>
        <w:rPr>
          <w:sz w:val="24"/>
          <w:szCs w:val="24"/>
        </w:rPr>
      </w:pPr>
    </w:p>
    <w:p>
      <w:pPr>
        <w:pStyle w:val="style0"/>
        <w:spacing w:lineRule="auto" w:line="480"/>
        <w:rPr>
          <w:sz w:val="24"/>
          <w:szCs w:val="24"/>
        </w:rPr>
      </w:pPr>
      <w:r>
        <w:rPr>
          <w:sz w:val="24"/>
          <w:szCs w:val="24"/>
          <w:lang w:val="en-US"/>
        </w:rPr>
        <w:t>According to the chemical shifts ppm of the unknown compound the values gives a prediction of the spectra an alkane ring with 13 carbon atoms. When the ppm are divided with the least ppm they give the number of hydrogens in the compound.</w:t>
      </w:r>
    </w:p>
    <w:p>
      <w:pPr>
        <w:pStyle w:val="style0"/>
        <w:spacing w:lineRule="auto" w:line="480"/>
        <w:rPr>
          <w:sz w:val="24"/>
          <w:szCs w:val="24"/>
        </w:rPr>
      </w:pPr>
    </w:p>
    <w:p>
      <w:pPr>
        <w:pStyle w:val="style0"/>
        <w:spacing w:lineRule="auto" w:line="480"/>
        <w:rPr>
          <w:sz w:val="24"/>
          <w:szCs w:val="24"/>
          <w:lang w:val="en-US"/>
        </w:rPr>
      </w:pPr>
      <w:r>
        <w:rPr>
          <w:sz w:val="24"/>
          <w:szCs w:val="24"/>
          <w:lang w:val="en-US"/>
        </w:rPr>
        <w:t>Chemical shifts associated with the Larmor frequency of a nuclear spin to its chemical environment. Tetramethylsilan[TMS;(CH3)4Si] is generally used for standard to determine chemical shift of compounds: δTMS=0ppm. In other words, frequencies for chemicals are measured for a 1H or 13C nucleus of a sample from the 1H or 13C resonance of TMS. It is important to understand trend of chemical shift in terms of NMR interpretation. The proton NMR chemical shift is affect by nearness to electronegative atoms (O, N, halogen.) and unsaturated groups (C=C,C=O, aromatic). Electronegative groups move to the down field (left; increase in ppm). Unsaturated groups shift to downfield (left) when affecting nucleus is in the plane of the unsaturation, but reverse shift takes place in the regions above and below the plane. 1H chemical shift play a role in identifying many functional groups</w:t>
      </w:r>
    </w:p>
    <w:p>
      <w:pPr>
        <w:pStyle w:val="style0"/>
        <w:spacing w:lineRule="auto" w:line="480"/>
        <w:rPr>
          <w:sz w:val="24"/>
          <w:szCs w:val="24"/>
        </w:rPr>
      </w:pPr>
    </w:p>
    <w:bookmarkStart w:id="0" w:name="_GoBack"/>
    <w:bookmarkEnd w:id="0"/>
    <w:p>
      <w:pPr>
        <w:pStyle w:val="style0"/>
        <w:spacing w:lineRule="auto" w:line="480"/>
        <w:rPr>
          <w:b/>
          <w:bCs/>
          <w:sz w:val="24"/>
          <w:szCs w:val="24"/>
          <w:lang w:val="en-US"/>
        </w:rPr>
      </w:pPr>
      <w:r>
        <w:rPr>
          <w:b/>
          <w:bCs/>
          <w:sz w:val="24"/>
          <w:szCs w:val="24"/>
          <w:lang w:val="en-US"/>
        </w:rPr>
        <w:t xml:space="preserve">Unknown UV </w:t>
      </w:r>
    </w:p>
    <w:p>
      <w:pPr>
        <w:pStyle w:val="style0"/>
        <w:spacing w:lineRule="auto" w:line="480"/>
        <w:rPr>
          <w:sz w:val="24"/>
          <w:szCs w:val="24"/>
          <w:lang w:val="en-US"/>
        </w:rPr>
      </w:pPr>
      <w:r>
        <w:rPr>
          <w:sz w:val="24"/>
          <w:szCs w:val="24"/>
          <w:lang w:val="en-US"/>
        </w:rPr>
        <w:t>The functioning of this instrument is relatively straightforward. A beam of light from a visible and/or UV light source (colored red) is separated into its component wavelengths by a prism or diffraction grating. Each monochromatic (single wavelength) beam in turn is split into two equal intensity beams by a half-mirrored device. One beam, the sample beam (colored magenta), passes through a small transparent container (cuvette) containing a solution of the compound being studied in a transparent solvent. The other beam, the reference (colored blue), passes through an identical cuvette containing only the solvent. The intensities of these light beams are then measured by electronic detectors and compared. The intensity of the reference beam, which should have suffered little or no light absorption, is defined as I0. The intensity of the sample beam is defined as I. Over a short period of time, the spectrometer automatically scans all the component wavelengths in the manner described. The ultraviolet (UV) region scanned is normally from 200 to 400 nm, and the visible portion is from 400 to 800 nm.</w:t>
      </w:r>
    </w:p>
    <w:p>
      <w:pPr>
        <w:pStyle w:val="style0"/>
        <w:spacing w:lineRule="auto" w:line="480"/>
        <w:rPr>
          <w:sz w:val="24"/>
          <w:szCs w:val="24"/>
          <w:lang w:val="en-US"/>
        </w:rPr>
      </w:pPr>
      <w:r>
        <w:rPr>
          <w:sz w:val="24"/>
          <w:szCs w:val="24"/>
          <w:lang w:val="en-US"/>
        </w:rPr>
        <w:t>The compound in the experiment is predicted to be methylcyclohexane according to the lambda and value from experiment.</w:t>
      </w:r>
    </w:p>
    <w:p>
      <w:pPr>
        <w:pStyle w:val="style0"/>
        <w:spacing w:lineRule="auto" w:line="480"/>
        <w:rPr>
          <w:sz w:val="24"/>
          <w:szCs w:val="24"/>
        </w:rPr>
      </w:pPr>
    </w:p>
    <w:p>
      <w:pPr>
        <w:pStyle w:val="style0"/>
        <w:spacing w:lineRule="auto" w:line="480"/>
        <w:rPr>
          <w:b/>
          <w:bCs/>
          <w:sz w:val="24"/>
          <w:szCs w:val="24"/>
          <w:lang w:val="en-US"/>
        </w:rPr>
      </w:pPr>
      <w:r>
        <w:rPr>
          <w:b/>
          <w:bCs/>
          <w:sz w:val="24"/>
          <w:szCs w:val="24"/>
          <w:lang w:val="en-US"/>
        </w:rPr>
        <w:t xml:space="preserve">Unknown IR </w:t>
      </w:r>
    </w:p>
    <w:p>
      <w:pPr>
        <w:pStyle w:val="style0"/>
        <w:spacing w:lineRule="auto" w:line="480"/>
        <w:rPr>
          <w:sz w:val="24"/>
          <w:szCs w:val="24"/>
          <w:lang w:val="en-US"/>
        </w:rPr>
      </w:pPr>
      <w:r>
        <w:rPr>
          <w:sz w:val="24"/>
          <w:szCs w:val="24"/>
          <w:lang w:val="en-US"/>
        </w:rPr>
        <w:t>The line at 3000 cm-1 is a useful “border” between alkene C–H (above 3000 cm-1) and alkane C–H (below 3000 cm-1 ) This can quickly help you determine if double bonds are present.</w:t>
      </w:r>
    </w:p>
    <w:p>
      <w:pPr>
        <w:pStyle w:val="style0"/>
        <w:spacing w:lineRule="auto" w:line="480"/>
        <w:rPr>
          <w:sz w:val="24"/>
          <w:szCs w:val="24"/>
          <w:lang w:val="en-US"/>
        </w:rPr>
      </w:pPr>
      <w:r>
        <w:rPr>
          <w:sz w:val="24"/>
          <w:szCs w:val="24"/>
          <w:lang w:val="en-US"/>
        </w:rPr>
        <w:t>.A peak in the region around 2200 cm-1 – 2050 cm-1 is a subtle indicator of the presence of a triple bond [C≡N or C≡C] . Nothing else shows up in this region.</w:t>
      </w:r>
    </w:p>
    <w:p>
      <w:pPr>
        <w:pStyle w:val="style0"/>
        <w:spacing w:lineRule="auto" w:line="480"/>
        <w:rPr>
          <w:sz w:val="24"/>
          <w:szCs w:val="24"/>
        </w:rPr>
      </w:pPr>
      <w:r>
        <w:rPr>
          <w:sz w:val="24"/>
          <w:szCs w:val="24"/>
          <w:lang w:val="en-US"/>
        </w:rPr>
        <w:t>The unknown IR compound can be identified as phenylehyne.</w:t>
      </w:r>
    </w:p>
    <w:p>
      <w:pPr>
        <w:pStyle w:val="style0"/>
        <w:spacing w:lineRule="auto" w:line="480"/>
        <w:rPr>
          <w:b/>
          <w:bCs/>
          <w:sz w:val="24"/>
          <w:szCs w:val="24"/>
          <w:lang w:val="en-US"/>
        </w:rPr>
      </w:pPr>
      <w:r>
        <w:rPr>
          <w:b/>
          <w:bCs/>
          <w:sz w:val="24"/>
          <w:szCs w:val="24"/>
          <w:lang w:val="en-US"/>
        </w:rPr>
        <w:t xml:space="preserve">Cosy unknown </w:t>
      </w:r>
    </w:p>
    <w:p>
      <w:pPr>
        <w:pStyle w:val="style0"/>
        <w:spacing w:lineRule="auto" w:line="480"/>
        <w:rPr>
          <w:sz w:val="24"/>
          <w:szCs w:val="24"/>
          <w:lang w:val="en-US"/>
        </w:rPr>
      </w:pPr>
      <w:r>
        <w:rPr>
          <w:sz w:val="24"/>
          <w:szCs w:val="24"/>
          <w:lang w:val="en-US"/>
        </w:rPr>
        <w:t>The interesting peaks are the ones that do not appear along the diagonal. Those peaks indicate which hydrogens are coupled to which other hydrogens. The hydrogens at 1.25 ppm are coupled to the ones at 4.2 ppm, and that gives a "cross-peak" at (1.25, 4.20). There is also a cross-peak at (4.20, 1.25), because that relationship goes both ways.</w:t>
      </w:r>
    </w:p>
    <w:p>
      <w:pPr>
        <w:pStyle w:val="style0"/>
        <w:spacing w:lineRule="auto" w:line="480"/>
        <w:rPr>
          <w:sz w:val="24"/>
          <w:szCs w:val="24"/>
          <w:lang w:val="en-US"/>
        </w:rPr>
      </w:pPr>
      <w:r>
        <w:rPr>
          <w:sz w:val="24"/>
          <w:szCs w:val="24"/>
          <w:lang w:val="en-US"/>
        </w:rPr>
        <w:t>According the spectra shown in the experiment the cosy compound contains an alcohol group this is indentified as 1-propanol.</w:t>
      </w:r>
    </w:p>
    <w:p>
      <w:pPr>
        <w:pStyle w:val="style0"/>
        <w:spacing w:lineRule="auto" w:line="480"/>
        <w:rPr>
          <w:sz w:val="24"/>
          <w:szCs w:val="24"/>
          <w:lang w:val="en-US"/>
        </w:rPr>
      </w:pPr>
    </w:p>
    <w:p>
      <w:pPr>
        <w:pStyle w:val="style0"/>
        <w:spacing w:lineRule="auto" w:line="480"/>
        <w:rPr>
          <w:b/>
          <w:bCs/>
          <w:sz w:val="24"/>
          <w:szCs w:val="24"/>
          <w:lang w:val="en-US"/>
        </w:rPr>
      </w:pPr>
      <w:r>
        <w:rPr>
          <w:b/>
          <w:bCs/>
          <w:sz w:val="24"/>
          <w:szCs w:val="24"/>
          <w:lang w:val="en-US"/>
        </w:rPr>
        <w:t>In DEPT 45, 90 and 135</w:t>
      </w:r>
    </w:p>
    <w:p>
      <w:pPr>
        <w:pStyle w:val="style0"/>
        <w:spacing w:lineRule="auto" w:line="480"/>
        <w:rPr>
          <w:sz w:val="24"/>
          <w:szCs w:val="24"/>
          <w:lang w:val="en-US"/>
        </w:rPr>
      </w:pPr>
      <w:r>
        <w:rPr>
          <w:sz w:val="24"/>
          <w:szCs w:val="24"/>
          <w:lang w:val="en-US"/>
        </w:rPr>
        <w:t>Distortionless Enhancement by Polarization Transfer (DEPT) is a double resonance pulse program that transfers polarization from an excited nucleus to another – most commonly 1H → 13C. This results in a sensitivity enhancement relative to the standard decoupled 1D carbon spectra (13C{1H}), which benefits only from the small Nuclear Overhauser Effect (NOE) enhancements.</w:t>
      </w:r>
    </w:p>
    <w:p>
      <w:pPr>
        <w:pStyle w:val="style0"/>
        <w:spacing w:lineRule="auto" w:line="480"/>
        <w:rPr>
          <w:sz w:val="24"/>
          <w:szCs w:val="24"/>
          <w:lang w:val="en-US"/>
        </w:rPr>
      </w:pPr>
    </w:p>
    <w:p>
      <w:pPr>
        <w:pStyle w:val="style0"/>
        <w:spacing w:lineRule="auto" w:line="480"/>
        <w:rPr>
          <w:sz w:val="24"/>
          <w:szCs w:val="24"/>
          <w:lang w:val="en-US"/>
        </w:rPr>
      </w:pPr>
      <w:r>
        <w:rPr>
          <w:sz w:val="24"/>
          <w:szCs w:val="24"/>
          <w:lang w:val="en-US"/>
        </w:rPr>
        <w:t>The DEPT sequence is a clever combination of the coherence transfer techniques of the Insensitive Nuclei Enhanced by Polarization Transfer (INEPT) experiment and the spin-echo protocol of the attached proton test (APT). This astute manipulation of nuclear spins affords spectra that has BOTH signal enhancement AND phase separated methine (CH), methylene (CH2) and methyl (CH3) resonances.</w:t>
      </w:r>
    </w:p>
    <w:p>
      <w:pPr>
        <w:pStyle w:val="style0"/>
        <w:spacing w:lineRule="auto" w:line="480"/>
        <w:rPr>
          <w:sz w:val="24"/>
          <w:szCs w:val="24"/>
          <w:lang w:val="en-US"/>
        </w:rPr>
      </w:pPr>
      <w:r>
        <w:rPr>
          <w:sz w:val="24"/>
          <w:szCs w:val="24"/>
          <w:lang w:val="en-US"/>
        </w:rPr>
        <w:t xml:space="preserve">DEPT-45 leaves all resonances with a positive phase (so pretty similar to a basic 1D except that due to polarization transfer, you can get the spectrum much faster – with the exception of quaternary carbons). DEPT-90 only shows CH, and DEPT-135 shows CH/CH3 with a positive phase and CH2 with a negative one </w:t>
      </w:r>
    </w:p>
    <w:p>
      <w:pPr>
        <w:pStyle w:val="style0"/>
        <w:spacing w:lineRule="auto" w:line="480"/>
        <w:rPr>
          <w:sz w:val="24"/>
          <w:szCs w:val="24"/>
        </w:rPr>
      </w:pPr>
    </w:p>
    <w:p>
      <w:pPr>
        <w:pStyle w:val="style0"/>
        <w:spacing w:lineRule="auto" w:line="480"/>
        <w:rPr>
          <w:sz w:val="24"/>
          <w:szCs w:val="24"/>
          <w:lang w:val="en-US"/>
        </w:rPr>
      </w:pPr>
      <w:r>
        <w:rPr>
          <w:sz w:val="24"/>
          <w:szCs w:val="24"/>
          <w:lang w:val="en-US"/>
        </w:rPr>
        <w:t>Because we only see resonances that have attached protons, ideally, a 13C{1H} should be paired with DEPT-90 and DEPT-135 for full peak assignment. See, for example, the 30v/v% (~1.5 M) sample of diethyl phthalate in d6-DMSO. The standard 13C{1H} spectrum was acquired with about 3x the number of scans as were the DEPT spectra.</w:t>
      </w:r>
    </w:p>
    <w:p>
      <w:pPr>
        <w:pStyle w:val="style0"/>
        <w:spacing w:lineRule="auto" w:line="480"/>
        <w:rPr>
          <w:sz w:val="24"/>
          <w:szCs w:val="24"/>
          <w:lang w:val="en-US"/>
        </w:rPr>
      </w:pPr>
      <w:r>
        <w:rPr>
          <w:sz w:val="24"/>
          <w:szCs w:val="24"/>
          <w:lang w:val="en-US"/>
        </w:rPr>
        <w:t>The unknown compound is predicted as 13C_diethylphthlalate.</w:t>
      </w:r>
    </w:p>
    <w:p>
      <w:pPr>
        <w:pStyle w:val="style0"/>
        <w:spacing w:lineRule="auto" w:line="480"/>
        <w:rPr>
          <w:b/>
          <w:bCs/>
          <w:sz w:val="24"/>
          <w:szCs w:val="24"/>
          <w:lang w:val="en-US"/>
        </w:rPr>
      </w:pPr>
      <w:r>
        <w:rPr>
          <w:b/>
          <w:bCs/>
          <w:sz w:val="24"/>
          <w:szCs w:val="24"/>
          <w:lang w:val="en-US"/>
        </w:rPr>
        <w:t xml:space="preserve">HSQC unknown </w:t>
      </w:r>
    </w:p>
    <w:p>
      <w:pPr>
        <w:pStyle w:val="style0"/>
        <w:spacing w:lineRule="auto" w:line="480"/>
        <w:rPr>
          <w:sz w:val="24"/>
          <w:szCs w:val="24"/>
          <w:lang w:val="en-US"/>
        </w:rPr>
      </w:pPr>
      <w:r>
        <w:rPr>
          <w:sz w:val="24"/>
          <w:szCs w:val="24"/>
          <w:lang w:val="en-US"/>
        </w:rPr>
        <w:t>¹H-¹³C Heteronuclear Single Quantum Coherence Spectroscopy (HSQC) shows which hydrogens are directly attached to which carbon atoms. The ¹H spectrum is shown on the horizontal axis and the ¹³C spectrum is shown on the vertical axis. The HSQC spectrum is most valuable when protons have already been assigned.</w:t>
      </w:r>
    </w:p>
    <w:p>
      <w:pPr>
        <w:pStyle w:val="style0"/>
        <w:spacing w:lineRule="auto" w:line="480"/>
        <w:rPr>
          <w:sz w:val="24"/>
          <w:szCs w:val="24"/>
          <w:lang w:val="en-US"/>
        </w:rPr>
      </w:pPr>
      <w:r>
        <w:rPr>
          <w:sz w:val="24"/>
          <w:szCs w:val="24"/>
          <w:lang w:val="en-US"/>
        </w:rPr>
        <w:t>According to the peaks signal of the experimental diagram the  unknown compound is predicted as 13C_diethylphthlalate.</w:t>
      </w:r>
    </w:p>
    <w:p>
      <w:pPr>
        <w:pStyle w:val="style0"/>
        <w:spacing w:lineRule="auto" w:line="480"/>
        <w:rPr>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951</Words>
  <Pages>2</Pages>
  <Characters>4853</Characters>
  <Application>WPS Office</Application>
  <DocSecurity>0</DocSecurity>
  <Paragraphs>118</Paragraphs>
  <ScaleCrop>false</ScaleCrop>
  <LinksUpToDate>false</LinksUpToDate>
  <CharactersWithSpaces>5757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2021-04-07T18:18:00Z</dcterms:created>
  <dc:creator>JESSE</dc:creator>
  <lastModifiedBy>RMX2185</lastModifiedBy>
  <dcterms:modified xsi:type="dcterms:W3CDTF">2021-04-07T19:41:54Z</dcterms:modified>
  <revision>2</revision>
</coreProperties>
</file>

<file path=docProps/custom.xml><?xml version="1.0" encoding="utf-8"?>
<Properties xmlns="http://schemas.openxmlformats.org/officeDocument/2006/custom-properties" xmlns:vt="http://schemas.openxmlformats.org/officeDocument/2006/docPropsVTypes"/>
</file>